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04F02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F0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0D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D510E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0D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260D0">
        <w:rPr>
          <w:rFonts w:ascii="Times New Roman" w:hAnsi="Times New Roman" w:cs="Times New Roman"/>
          <w:b/>
          <w:sz w:val="24"/>
          <w:szCs w:val="28"/>
        </w:rPr>
        <w:t>1 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61BAF">
        <w:rPr>
          <w:rFonts w:ascii="Times New Roman" w:hAnsi="Times New Roman" w:cs="Times New Roman"/>
          <w:b/>
          <w:sz w:val="24"/>
          <w:szCs w:val="28"/>
        </w:rPr>
        <w:t>2024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15 352 190,62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18 073 409,50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7260D0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7260D0">
        <w:rPr>
          <w:rFonts w:ascii="Times New Roman" w:hAnsi="Times New Roman" w:cs="Times New Roman"/>
          <w:sz w:val="24"/>
          <w:szCs w:val="24"/>
        </w:rPr>
        <w:t>2 721 218,88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15 352 190,62</w:t>
      </w:r>
      <w:r w:rsidR="007260D0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18 073 409,50</w:t>
      </w:r>
      <w:r w:rsidR="007260D0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7260D0">
        <w:rPr>
          <w:rFonts w:ascii="Times New Roman" w:hAnsi="Times New Roman" w:cs="Times New Roman"/>
          <w:sz w:val="24"/>
          <w:szCs w:val="24"/>
        </w:rPr>
        <w:t>дефицит</w:t>
      </w:r>
      <w:r w:rsidR="007260D0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7260D0">
        <w:rPr>
          <w:rFonts w:ascii="Times New Roman" w:hAnsi="Times New Roman" w:cs="Times New Roman"/>
          <w:sz w:val="24"/>
          <w:szCs w:val="24"/>
        </w:rPr>
        <w:t>2 721 218,88</w:t>
      </w:r>
      <w:bookmarkStart w:id="0" w:name="_GoBack"/>
      <w:bookmarkEnd w:id="0"/>
      <w:r w:rsidR="000C043E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260D0"/>
    <w:rsid w:val="0075167E"/>
    <w:rsid w:val="007E3596"/>
    <w:rsid w:val="007F35C7"/>
    <w:rsid w:val="008350C4"/>
    <w:rsid w:val="00935D84"/>
    <w:rsid w:val="00961BAF"/>
    <w:rsid w:val="009C3C49"/>
    <w:rsid w:val="009E7666"/>
    <w:rsid w:val="00A4242C"/>
    <w:rsid w:val="00AF271F"/>
    <w:rsid w:val="00B05736"/>
    <w:rsid w:val="00B4142D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2024-04-18T06:32:00Z</cp:lastPrinted>
  <dcterms:created xsi:type="dcterms:W3CDTF">2018-02-05T06:04:00Z</dcterms:created>
  <dcterms:modified xsi:type="dcterms:W3CDTF">2024-07-08T11:55:00Z</dcterms:modified>
</cp:coreProperties>
</file>